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装配式建筑构件安装赛项赛题第六套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1.国务院办公厅《关于大力发展装配式建筑的指导意见》的工作目标中提出,要推动形成一批设计、施工、部品部件规模化生产企业，具有现代装配建造水平的（ ）以及与之相适应的专业化技能队伍。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A.设计总承包企业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B.工程总承包企业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C.施工总承包企业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D.设计-施工总承包企业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2.装配式混凝土建筑应结合（ ）的原则整体策划，协同建筑、结构、几点、装饰装修等专业要求，制定施工组织设计。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A.标准化设计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B.装配化施工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C.设计、加工、采购一体化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D.设计、生产、装配一体化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3.装配整体式混凝土结构应采用（ ）进行三维可视化设计，并进行各类设计分析。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A.建筑信息模型系统（BIM）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B.制造执行系统（MES）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C.企业资源计划系统（ERP）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D.产品全生命周期管理系统（PLM）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4.由于下列因素出现，影响合同价款调整的，不应由发包人承担的是（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A.国家法律、法规、规章和政策发生变化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B.省级或行业建设主管部门发布的人工费调整，但承包人对人工费或人工单价的报价高于发布的除外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C.由政府定价或政府指导价管理的原材料等价格进行了调整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D.由于雨季持续性下雨导致的工期延误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5.预制混凝土模具的混凝土接触面的焊缝应磨平，接口平面之间及磨平后的焊缝与板面之间的高低差，均不得大于（）mm。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6.下列不属于预制构件粗糙面常用处理工艺的是（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A.水洗法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B.拉毛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C.凿毛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7.试拌调整混凝土时，发现拌和物的保水性较差，应采用(    )措施。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A．增加砂率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B．减少砂率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C．增加水泥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D．增加用水量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9.当预制构件粗糙面采用涂刷缓凝剂工艺时，预制构件脱模后应及时进行（ ），露出骨料。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A.凿毛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B.喷砂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C.拉毛处理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D.高压水冲洗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10.编号为WQM-3628-1823的内叶墙板，其含义为（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A.预制内叶墙板类型为一个门洞外墙，标志宽度3600mm，层高2800mm，门宽1800mm，门高2300mm。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B.预制内叶墙板类型为一个门洞外墙，层高3600mm，标志宽度2800mm，门宽1800mm，门高2300mm。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C.预制内叶墙板类型为一个门洞外墙，标志宽度3600mm，层高2800mm，门高1800mm，门宽2300mm。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D.预制内叶墙板类型为一个窗洞外墙，标志宽度3600mm，层高2800mm，窗宽1800mm，窗高2300mm。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11.高温车间的衬护混凝土，宜选用（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硅酸盐水泥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普通硅酸盐水泥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铝酸盐水泥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粉煤硅酸盐水泥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80MPa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95MPa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90MPa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85MPa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13.复合保温夹芯外墙采用反打一次成型工艺制作, 保温工序为（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聚苯放样→构件加工图→聚苯下料→聚苯铺装→浇筑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聚苯放样→聚苯下料→构件加工图→聚苯铺装→浇筑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构件加工图→聚苯放样→聚苯下料→聚苯铺装→浇筑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聚苯放样→聚苯下料→聚苯铺装→构件加工图→浇筑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14.沉降观测时，为了提高观测精度，可采用固定测量人员、固定测量仪器和（  ）的“三固定”方法。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A.固定测量时间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B.固定测量周期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C.固定测量路线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D.固定测量精度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15.当构件翻身强度不得低于 (  )，经过复核满足翻身和吊装要求时，允许将构件翻身和起吊。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设计强度的70%且不低于C20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设计强度的30%并不低于C15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设计强度的大于C15，低于70%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以上说法都不正确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16.装配式工业厂房吊车梁的吊装、应在基础杯口二次浇筑的混凝土达到设计强度（ ）以上，方可进行。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17.关于施工测量放线和验线的说法，错误的是（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A.测量放线工作必须严格遵守“三检”制度和验线制度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B.测量员放线工作完成后，必须进行自检，并填写自检记录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C.验线工作应由项目负责人进行，发现不合格立即返工重测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D.放线工作自检合格后，应填写《放线报验表》并报监理验线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18.预制构件连接部位后浇混凝土及灌浆料的（ ）达到设计要求后，方可拆除临时固定措施。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B.刚度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C.稳定性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D.硬度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19.在控制流程反馈与纠正两个环节之间的是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A．计划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B．对比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C．转换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D．纠正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解析：控制流程：投入 转换 反馈 对比 纠正。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20.墙板采用靠放架堆放时与地面倾斜角度宜大于（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21.当</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就位至安装部位后，顶板吊装工人用挂钩拉住揽风绳将</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en-US" w:eastAsia="zh-CN"/>
        </w:rPr>
        <w:t>预留钢筋插入现浇梁内。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A.下部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B.左部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C.上部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D.右部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22.主要适用于竖向构件（墙、柱）的钢筋连接是(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23.墙板码放储存时储存架类型有立式码放存储架、斜式码放存储架、模块式码放存储架、专用码放存储架和（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A.叠合码放存储架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B.悬吊码放存储架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C.固定式码放存储架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D.竖向码放存储架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24.预制构件重叠平运时，各层之间必须放（ ）木方支垫，且垫块位置应保证构件受力合理，上下对齐。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A.100×100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B.80×80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C.60×60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25.在混凝土浇筑之前，用海绵塞紧</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预埋件上的套筒孔，并用胶纸缠绕，避免浇筑混凝土时（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A.漏气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B.松脱</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C.混凝土浆外溢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D.堵塞预埋件的套筒孔</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26.关于预制构件吊装安全的说法不正确的是（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A.建筑施工楼层围挡高度不低于1.6m，施工顺序采用线连接结构板梁或剪力墙，超过安全操作高度，作业人员必须佩戴穿芯自锁保险带。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吊装前必须检查吊具、钢梁、葫芦、钢丝绳其中用品的性能是否完好，如有出现变形或者损害，必须及时更换。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C.预制构件在安装吊具过程中，严禁拆除预制构件与存放架的安全固定装置 ，待起吊时方可将其拆除，避免构件由于自身重力或振动引起的构件倾斜和翻转。   D.预制构件吊运时，起重机械回转半径范围内，应设置警示带，严禁非作业人员进入吊装区域，以防坠物伤人。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27.机械加工灌浆套筒的加工分类代号用字母（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A.J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B.Z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D.B</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28.后浇混凝土或灌浆料应达到设计强度的（   ）以上方可拆除。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29.水平角观测所使用的全站仪、电子经纬仪和光学经纬仪，其光学（或激光）对中器的视轴与竖轴的重合度不应大于（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30.叠合板支座处的纵向钢筋在端支座处宜从板端伸出并锚入支撑梁或墙的后浇混凝土中，锚固长度不应小于（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32.施工现场钢筋套筒接头灌浆料应留置同条件养护试块，试块规格为（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A.40mm×40mm×160mm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B.150 mm×150 mm×150mm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C.70.7 mm×70.7 mm×70.7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D.100mm×100mm×100mm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33.构件上的预埋件和预留孔洞宜通过模具进行定位，并安装牢固，其吊环中心线位置允许误差为（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34.当房屋高度不大于10m且不超过3层时，预制剪力墙截面厚度不应小于（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C.140mm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D.160mm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35.预制构件码放储存通常可采用平面堆放和（ ）两种方式。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A.立式堆放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B.叠加堆放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C.竖向固定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D.竖直堆放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36.当环境温度高于（ ）时，应采取降低灌浆料拌合物温度的措施。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37.预制构件与后浇混凝土、灌浆料、坐浆材料的结合面应设置粗糙面、键槽，粗糙面的面积不宜小于结合面的（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B.75%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38.建设部按照国务院规定的职权范围，独立或由立法机关授权并强制制定、实施的规范工程建设活动的各项规章为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A．建设工程法律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C．建设工程部门规章</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B．建设工程行政法规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D．建设工程单行条例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39.采用消除应力钢丝或钢绞线作为预应力筋的先张法构件，尚不应低于（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40.预制楼梯施工流程正确的是（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A.定位钢筋预埋及吊具安装→预制楼梯的安装及校正→预制楼梯吊运→预制楼梯与现浇结构节点处理→预留洞口以及施工缝隙填补。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B.定位钢筋预埋及吊具安装→预制楼梯吊运→预制楼梯与现浇结构节点处理→预制楼梯的安装及校正→预留洞口以及施工缝隙填补。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C.定位钢筋预埋及吊具安装→预制楼梯吊运→预制楼梯的安装及校正→预制楼梯与现浇结构节点处理→预留洞口以及施工缝隙填补。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D.定位钢筋预埋及吊具安装→预制楼梯吊运→预制楼梯的安装及校正→预留洞口以及施工缝隙填补→预制楼梯与现浇结构节点处理。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41.关于预制剪力墙、柱的安装叙述不正确的是（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A.在预制剪力墙安装施工层配置一名信号工和四名吊装工；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B.在吊装工的指挥下，塔吊将预制剪力墙、柱下落至设计安装位置；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C.下一层预制剪力墙墙、柱的竖向预留钢筋插入预制剪力墙、柱底部的套筒中，定向入座后，立即加设不少于2根的斜支撑对预制剪力墙、柱临时固定；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D.斜支撑与楼面的水平夹角不应小于60</w:t>
      </w:r>
      <w:r>
        <w:rPr>
          <w:rFonts w:hint="eastAsia" w:ascii="仿宋_GB2312" w:hAnsi="仿宋_GB2312" w:eastAsia="仿宋_GB2312" w:cs="仿宋_GB2312"/>
          <w:sz w:val="28"/>
          <w:szCs w:val="28"/>
          <w:lang w:val="en-US" w:eastAsia="ja-JP"/>
        </w:rPr>
        <w:t>゜</w:t>
      </w:r>
      <w:r>
        <w:rPr>
          <w:rFonts w:hint="eastAsia" w:ascii="仿宋_GB2312" w:hAnsi="仿宋_GB2312" w:eastAsia="仿宋_GB2312" w:cs="仿宋_GB2312"/>
          <w:sz w:val="28"/>
          <w:szCs w:val="28"/>
          <w:lang w:val="en-US" w:eastAsia="zh-CN"/>
        </w:rPr>
        <w: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ja-JP"/>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42.套筒接头一端采用灌浆方式连接，另一端采用非灌浆方式（通常采用螺纹连接）连接钢筋，这种灌浆套筒为（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43.预制梁或叠合梁安装顺序宜遵循（  ）的原则。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A.先主梁后次梁、先高后低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B.先主梁后次梁、先低后高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C.先次梁后主梁、先高后低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D.先次梁后主梁、先低后高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44.套筒接头两端均采用灌浆方式连接钢筋，这种灌浆套筒为（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 安装预制墙板、预制柱等竖向构件时，应采用可调（ ）临时固定；支撑的位置应避免与模板支架、相邻支撑冲突。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A.横支撑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B.竖支撑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C.斜支撑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D.剪刀撑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46.由于操作面的限制，不便于混凝土的振捣密实时，宜采用()结合部位或接缝处混凝土施工，并应符合国家现行有关标准的规定（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A、微膨胀混凝土</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B、自密实混凝土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C、细石混凝土</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D、高强混凝土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安装施工前，应核对()的混凝土强度、外观质量、尺寸偏差等符合现行国家标准《混凝土结构工程施工规范》GB50666和本规程的有关规定，并应核对预制构件的混凝土强度及预制构件和配件的型号、规格、数量等符合设计要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A、已养护完成结构</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B、已浇筑完成结构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C、已施工完成结构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D、以上都是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48.预制墙和板构件的安装尺寸允许偏差检验中，在同一检验批内，应按有代表性的自然间抽查10%，且不少于（ ）间。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49.以下关于现阶段装配式建筑发展的重点推进方向错误的是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A.主体结构由预制部品部件的应用向建筑各系统集成转变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B.装饰装修与主体结构的一体化发展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C.部品部件的标准化应用和产品集成</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D.精装修是装配式建筑的倡导方向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50.我国装配式建筑发展大力推行EPC管理模式，其中</w:t>
      </w:r>
      <w:bookmarkStart w:id="0" w:name="OLE_LINK6"/>
      <w:bookmarkStart w:id="1" w:name="OLE_LINK5"/>
      <w:r>
        <w:rPr>
          <w:rFonts w:hint="eastAsia" w:ascii="仿宋_GB2312" w:hAnsi="仿宋_GB2312" w:eastAsia="仿宋_GB2312" w:cs="仿宋_GB2312"/>
          <w:sz w:val="28"/>
          <w:szCs w:val="28"/>
          <w:lang w:val="en-US" w:eastAsia="zh-CN"/>
        </w:rPr>
        <w:t>EPC</w:t>
      </w:r>
      <w:bookmarkEnd w:id="0"/>
      <w:bookmarkEnd w:id="1"/>
      <w:r>
        <w:rPr>
          <w:rFonts w:hint="eastAsia" w:ascii="仿宋_GB2312" w:hAnsi="仿宋_GB2312" w:eastAsia="仿宋_GB2312" w:cs="仿宋_GB2312"/>
          <w:sz w:val="28"/>
          <w:szCs w:val="28"/>
          <w:lang w:val="en-US" w:eastAsia="zh-CN"/>
        </w:rPr>
        <w:t>指的是（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A.施工装配一体化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B.工程总承包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C.项目总承包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D.设计标准化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1.关于场区控制测量的说法，错误的有（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A.控制网点位应选在通视良好、土质坚实、便于施测、利于长期保存的地点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B.建筑方格网点的布设，应与建（构）筑物的设计轴线平行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C.当采用导线网作为场区控制网时，导线相邻边的长度之比不宜超过1：4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D.场区高程控制网，应布设成闭合环线、附合路线或结点网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E.场区水准点应单独布设在场地相对稳定的区域，不得设在平面控制点的标石上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2．下列关于工程结算方式的有关表述中，正确的是(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A．可以先预付部分工程款，在施工过程按月结算工程进度款，竣工后进行竣工结算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B．实行竣工后一次结算方式的，承包商不能预支工程款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实行按月结算的，当月结算的工程款应与工程形象进度一致，竣工后不再结算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D．实行分阶段结算的，可以按月预支工程款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E．实行竣工后一次结算的工程，当年结算的工程款应与分年度的工程量一致，年终不另清算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3.叠合板应按现行国家标准进行设计，并应符合下列哪些规定（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A.叠合板的预制板度不宜小于 60mm,后浇混凝土叠合层厚度不应小于60mm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B.当叠合板的预制板采用空心板时，板端空腔应封堵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C.跨度大于3m的叠合板，宜采用桁架钢筋混凝土叠合板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D.跨度大于6m的叠合板，宜采用预应力混凝土叠合板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E.跨度小于3m的叠合板，宜采用桁架钢筋混凝土叠合板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4.预制钢筋混凝土楼梯,根据实际情况均匀振捣，振动棒（  ），振捣间距（  ），每处振捣约20-30秒；根据砼料坍落度适当调整振捣时间。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A.应快插慢拔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B.应慢插快拔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C.10-15 cm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D.15-20cm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E.20-30 cm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5.当未设置桁架钢筋时，叠合板的预制板与后浇混凝土叠合层之间应设置抗剪构造钢筋，下列做法正确的是（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A.单向叠合板跨度大于4．0m时，距支座1／4跨范围内；</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B.双向叠合板短向跨度大于4．0m时，距四边支座1／4短跨范围内；</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C.悬挑叠合板；</w:t>
      </w:r>
      <w:r>
        <w:rPr>
          <w:rFonts w:hint="eastAsia" w:ascii="仿宋_GB2312" w:hAnsi="仿宋_GB2312" w:eastAsia="仿宋_GB2312" w:cs="仿宋_GB2312"/>
          <w:sz w:val="28"/>
          <w:szCs w:val="28"/>
          <w:lang w:val="en-US" w:eastAsia="zh-CN"/>
        </w:rPr>
        <w:br w:type="textWrapping"/>
      </w:r>
      <w:r>
        <w:rPr>
          <w:rFonts w:hint="eastAsia" w:ascii="仿宋_GB2312" w:hAnsi="仿宋_GB2312" w:eastAsia="仿宋_GB2312" w:cs="仿宋_GB2312"/>
          <w:sz w:val="28"/>
          <w:szCs w:val="28"/>
          <w:lang w:val="en-US" w:eastAsia="zh-CN"/>
        </w:rPr>
        <w:t>D.悬挑板的上部纵向受力钢筋在相邻叠合板的后浇混凝土锚固范围内。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E.单向叠合板跨度小于4．0m时。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6.预制混凝土构件与后浇混凝土、灌浆料、坐浆材料的接触面须做成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A.粗糙面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B.光滑面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C.抹压面</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D.键槽</w:t>
      </w: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E.叠合层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7.装配式混凝土结构后浇混凝土部分的模板与支架应符合下列规定（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A.装配式混凝土结构宜采用工具式支架和定型模板。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B.模板应保证后浇混凝土部分形状、尺寸和位置准确。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C.模板与预制构件接缝处应采取防止漏浆的措施，可粘贴密封条。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D.由于墙面平整，不需粘贴密封条防止漏浆。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E.模板必须采用铝模板，效果更好。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8.预制墙体混凝土振捣时，振捣器宜采用（   ），混凝土振捣完成后应用机械抹平压光。</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A.人工振捣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B.振动平台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C.内部振动器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D.外部振动器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E.平板振动器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9.施工安全控制的动态性是由(  BC)引起的。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A．项目的控制面广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B．项目的单件性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施工项目的分散性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D．控制的严谨性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E．控制的主观性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10.水平预制构件安装采用临时支撑时，做法正确的是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A.首层支撑架体的地基应平稳坚实，宜进行硬化处理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B.临时支撑的间距及其与墙、柱、梁边的净距应经设计计算确定，竖向连续支撑层数不宜少于2层且上下层支撑宜对准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C.叠合板预制底板下部支架宜选用定型独立钢支柱，竖向支撑间距应经计算确定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D.预制构件与吊具的分离应在校准定位及临时支撑安装前完进行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E.预制构件与吊具的分离应在校准定位及临时支撑安装后完进行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11.当测设的角度精度要求一般时，测设的具体步骤是（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A.设在地面上已有AB方向，要在A点以AB为起始方向，按设计图给出或计算出向右测设的水平角β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B.将经纬仪安置在A点，用盘左测设β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C.固定照准部，倒转望远镜成盘右，测设β角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D.取盘左、盘右测设的中点，为所测设的β角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E.测量A点水平角进行角度改正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12.受弯叠合构件的装配施工应符合下列规定（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A.应根据设计要求或施工方案设置临时支撑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B.施工荷载宜均匀布置，并不应超过设计规定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C.在混凝土浇筑前，应按设计要求检查结合面的粗糙度及预制构件的外漏钢筋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D.叠合构件在后浇混凝土强度达到设计要求前，可拆除临时支撑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E.构件吊装可在大雨大风天气下施工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13.预制楼梯构件养护要求正确的是（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A.对采用硅酸盐水泥、普通硅酸盐水泥或矿渣硅酸盐水泥拌制的混凝土，不得少于7d；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B.对掺用缓凝型外加剂或有抗渗要求的混凝土，不得少于21d；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 冬季采取加盖养护罩蒸汽养护的方式，养护罩内外温差小于200C时，方可拆除养护罩进行自然养护；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D.自然养护要保持楼梯表面湿润；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E.对采用硅酸盐水泥、普通硅酸盐水泥或矿渣硅酸盐水泥拌制的混凝土，不得少于14d；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14.预制混凝土构件吊装，当绑扎水平吊升的构件时，应符合（ ）规定。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A.绑扎点应按设计规定设置，无规定时，最外吊点应在距构件两端1/5~1/6构件全长处进行对称绑扎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B.各支吊索内力的合力作用点应处在构件重心线上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C.屋架绑扎点宜在节点上或靠近节点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D.水平吊升构件绑扎钢丝绳与物体间的水平夹角可小于45°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15下列关于绑扎水平吊升的构件时各支吊索内力的合力作用点(或称绑扎中心)必须处在构件位置错误的是（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A.圆心</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B.中心</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C.铅锤</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D.重心</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1.影响硅酸盐水泥凝结硬化最主要因素是水灰比，与环境的温度和湿度无关。(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2.预制柱吊装应校正的内容包括平面位置。(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3.构件应在脱模起吊至整修堆场或平台时进行标识，标识内容应包括工程名称、产品名称、型号、编号、生产日期，构件待检查、修补后再标注合格章及工厂名。(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4.结构设计时一般以屈服强度作为强度取值的依据(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5.滑行法吊装柱时，平面布置要求绑扎点靠近基础，绑扎点、柱脚中心和基础中心三点同弧。（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6.双向板跨中两个方向的钢筋都是受力筋，应将沿长跨方向的钢筋放外侧。(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7.预制混凝土模具组装后，底模、侧模和端模混凝土接触面之间的局部最大缝隙不得大于1mm。(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8.后张法是先浇筑混凝土后张拉预应力筋的预应力混凝土生产方法。(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9.装配整体式剪力墙结构的房屋最大适用高度同现浇剪力墙结构。(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10.灌浆料的搅拌时间控制在4-5分钟，直到产生均匀砂浆，且不产生泌水现象，静置2分钟，排出气泡。(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11.分仓区域内任意两个灌浆套筒间距不宜超过1.5m。(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12.吊装时吊索的直径和长度要根据吊装构件外形尺寸和吊装构件的吊点位置确定。(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13.钢筋套筒灌浆连接应用于装配式混凝土结构中竖向构件钢筋对接时，钢筋灌浆套筒在竖向预制构件顶部时，连接时在灌浆套筒中插入带肋钢筋后注入灌浆料拌合物。(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14.有杭震设防要求时,外挂墙板及其与主体结构的连接节点，应进行抗震设计。(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15.预制柱、墙安装前，应在预制构件及其支撑构件间设置垫片，宜采用钢制垫片，有利于均匀受力并调整构件底部标高。(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 框架梁预制部分的腰筋不承受扭矩时，可不伸入梁柱节点区。(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17.预制剪力墙的边缘构件的竖向钢筋应逐根连接。(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18.现场文明施工的要求是科学管理、创建文明现场。(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19.装配整体式混凝土框架结构中，当采用叠合梁时，框架梁的后浇混凝土叠合层厚度不宜小于120mm，次梁的后浇混凝土叠合层厚度不宜小于100mm。(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20.预制混凝土模具的混凝土接触面，不应有裂缝、结疤、分层等缺陷，如有某些擦伤、锈蚀、划痕、压痕和烧伤，其深度不得大于0.5mm，宽度不得大于2mm。(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both"/>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lang w:val="en-US" w:eastAsia="zh-CN"/>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人合作完成 “建筑装配式构</w:t>
      </w:r>
      <w:r>
        <w:rPr>
          <w:rFonts w:hint="eastAsia" w:ascii="仿宋_GB2312" w:hAnsi="仿宋_GB2312" w:eastAsia="仿宋_GB2312" w:cs="仿宋_GB2312"/>
          <w:szCs w:val="28"/>
          <w:lang w:val="en-US" w:eastAsia="zh-CN"/>
        </w:rPr>
        <w:t>件吊装</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szCs w:val="28"/>
          <w:lang w:val="en-US" w:eastAsia="zh-CN"/>
        </w:rPr>
        <w:t>为0.45</w:t>
      </w:r>
      <w:r>
        <w:rPr>
          <w:rFonts w:hint="eastAsia" w:ascii="仿宋_GB2312" w:hAnsi="仿宋_GB2312" w:eastAsia="仿宋_GB2312" w:cs="仿宋_GB2312"/>
          <w:szCs w:val="28"/>
        </w:rPr>
        <w:t>。</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760210" cy="3554730"/>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60210" cy="355473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w:t>
      </w:r>
      <w:r>
        <w:rPr>
          <w:rFonts w:hint="eastAsia" w:ascii="仿宋_GB2312" w:hAnsi="仿宋_GB2312" w:eastAsia="仿宋_GB2312" w:cs="仿宋_GB2312"/>
          <w:b/>
          <w:bCs/>
          <w:color w:val="000000"/>
          <w:kern w:val="0"/>
          <w:sz w:val="28"/>
          <w:szCs w:val="28"/>
          <w:lang w:val="en-US" w:eastAsia="zh-CN" w:bidi="ar"/>
        </w:rPr>
        <w:t>墙板材料存放区</w:t>
      </w:r>
      <w:r>
        <w:rPr>
          <w:rFonts w:hint="eastAsia" w:ascii="仿宋_GB2312" w:hAnsi="仿宋_GB2312" w:eastAsia="仿宋_GB2312" w:cs="仿宋_GB2312"/>
          <w:color w:val="000000"/>
          <w:kern w:val="0"/>
          <w:sz w:val="28"/>
          <w:szCs w:val="28"/>
          <w:lang w:val="en-US" w:eastAsia="zh-CN" w:bidi="ar"/>
        </w:rPr>
        <w:t>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YNQ-05要求：砼强度C35;连接方式灌浆套筒连接；构件尺寸1000x1250x200（长x高x厚）。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YNQ-06要求：砼强度C35;连接方式灌浆套筒连接；构件尺寸1000x1250x200（长x高x厚）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74765" cy="26282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2" w:name="_GoBack"/>
      <w:bookmarkEnd w:id="2"/>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环节任务书</w:t>
      </w:r>
    </w:p>
    <w:p>
      <w:pPr>
        <w:pStyle w:val="14"/>
        <w:jc w:val="right"/>
      </w:pPr>
      <w:r>
        <w:rPr>
          <w:rFonts w:cs="IDÑ˛"/>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1、本竞赛环节为师生3人（1个老师2个学生）合作竞技项目，3人合作完成 “装配式建筑构件安装赛项灌浆”，分值为100分。该环节加权系数为0.35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5、工位示意图</w:t>
      </w:r>
      <w:r>
        <w:drawing>
          <wp:inline distT="0" distB="0" distL="114300" distR="114300">
            <wp:extent cx="6054725" cy="3554730"/>
            <wp:effectExtent l="0" t="0" r="317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054725" cy="3554730"/>
                    </a:xfrm>
                    <a:prstGeom prst="rect">
                      <a:avLst/>
                    </a:prstGeom>
                    <a:noFill/>
                    <a:ln>
                      <a:noFill/>
                    </a:ln>
                  </pic:spPr>
                </pic:pic>
              </a:graphicData>
            </a:graphic>
          </wp:inline>
        </w:drawing>
      </w: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color w:val="000000"/>
          <w:kern w:val="0"/>
          <w:sz w:val="28"/>
          <w:szCs w:val="28"/>
          <w:lang w:val="en-US" w:eastAsia="zh-CN" w:bidi="ar"/>
        </w:rPr>
        <w:t>工位示意图中灌注柱尺寸为:400x400x660mm（长x宽x高）,选手按设计要求选C30柱按《规范》灌浆如下图所示：</w:t>
      </w:r>
      <w:r>
        <w:rPr>
          <w:rFonts w:hint="eastAsia" w:ascii="仿宋_GB2312" w:hAnsi="仿宋_GB2312" w:eastAsia="仿宋_GB2312" w:cs="仿宋_GB2312"/>
        </w:rPr>
        <w:drawing>
          <wp:inline distT="0" distB="0" distL="114300" distR="114300">
            <wp:extent cx="5897245" cy="5706745"/>
            <wp:effectExtent l="0" t="0" r="8255"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5897245" cy="5706745"/>
                    </a:xfrm>
                    <a:prstGeom prst="rect">
                      <a:avLst/>
                    </a:prstGeom>
                    <a:noFill/>
                    <a:ln>
                      <a:noFill/>
                    </a:ln>
                  </pic:spPr>
                </pic:pic>
              </a:graphicData>
            </a:graphic>
          </wp:inline>
        </w:drawing>
      </w:r>
    </w:p>
    <w:p>
      <w:pPr>
        <w:pStyle w:val="2"/>
        <w:numPr>
          <w:ilvl w:val="3"/>
          <w:numId w:val="0"/>
        </w:numPr>
        <w:ind w:leftChars="0"/>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drawing>
          <wp:inline distT="0" distB="0" distL="114300" distR="114300">
            <wp:extent cx="1129665" cy="445770"/>
            <wp:effectExtent l="0" t="0" r="13335" b="1143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a:stretch>
                      <a:fillRect/>
                    </a:stretch>
                  </pic:blipFill>
                  <pic:spPr>
                    <a:xfrm>
                      <a:off x="0" y="0"/>
                      <a:ext cx="1129665" cy="445770"/>
                    </a:xfrm>
                    <a:prstGeom prst="rect">
                      <a:avLst/>
                    </a:prstGeom>
                    <a:noFill/>
                    <a:ln>
                      <a:noFill/>
                    </a:ln>
                  </pic:spPr>
                </pic:pic>
              </a:graphicData>
            </a:graphic>
          </wp:inline>
        </w:drawing>
      </w:r>
    </w:p>
    <w:p>
      <w:pPr>
        <w:rPr>
          <w:rFonts w:hint="eastAsia" w:ascii="仿宋_GB2312" w:hAnsi="仿宋_GB2312" w:eastAsia="仿宋_GB2312" w:cs="仿宋_GB2312"/>
          <w:lang w:val="en-US" w:eastAsia="zh-CN"/>
        </w:rPr>
      </w:pPr>
    </w:p>
    <w:p>
      <w:pPr>
        <w:rPr>
          <w:rFonts w:hint="eastAsia" w:ascii="仿宋_GB2312" w:hAnsi="仿宋_GB2312" w:eastAsia="仿宋_GB2312" w:cs="仿宋_GB2312"/>
          <w:lang w:val="en-US" w:eastAsia="zh-CN"/>
        </w:rPr>
      </w:pP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keepNext w:val="0"/>
        <w:keepLines w:val="0"/>
        <w:widowControl/>
        <w:numPr>
          <w:ilvl w:val="0"/>
          <w:numId w:val="0"/>
        </w:numPr>
        <w:suppressLineNumbers w:val="0"/>
        <w:jc w:val="left"/>
        <w:rPr>
          <w:sz w:val="24"/>
          <w:szCs w:val="24"/>
        </w:rPr>
      </w:pPr>
    </w:p>
    <w:p>
      <w:pPr>
        <w:keepNext w:val="0"/>
        <w:keepLines w:val="0"/>
        <w:widowControl/>
        <w:numPr>
          <w:ilvl w:val="0"/>
          <w:numId w:val="0"/>
        </w:numPr>
        <w:suppressLineNumbers w:val="0"/>
        <w:jc w:val="left"/>
        <w:rPr>
          <w:sz w:val="24"/>
          <w:szCs w:val="24"/>
          <w:lang w:val="en-US" w:eastAsia="zh-CN"/>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pStyle w:val="14"/>
        <w:rPr>
          <w:rFonts w:hint="eastAsia"/>
          <w:szCs w:val="28"/>
        </w:rPr>
      </w:pPr>
    </w:p>
    <w:p>
      <w:pPr>
        <w:pStyle w:val="14"/>
        <w:rPr>
          <w:rFonts w:hint="eastAsia"/>
          <w:szCs w:val="28"/>
        </w:rPr>
      </w:pPr>
    </w:p>
    <w:p>
      <w:pPr>
        <w:pStyle w:val="14"/>
        <w:rPr>
          <w:rFonts w:hint="eastAsia"/>
          <w:szCs w:val="28"/>
        </w:rPr>
      </w:pPr>
      <w:r>
        <w:rPr>
          <w:rFonts w:hint="eastAsia"/>
          <w:szCs w:val="28"/>
        </w:rPr>
        <w:t xml:space="preserve">                               </w:t>
      </w:r>
    </w:p>
    <w:p>
      <w:pPr>
        <w:pStyle w:val="14"/>
        <w:rPr>
          <w:rFonts w:hint="eastAsia"/>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50440C"/>
    <w:rsid w:val="1FB1776E"/>
    <w:rsid w:val="202969ED"/>
    <w:rsid w:val="20A51A2D"/>
    <w:rsid w:val="215C64E4"/>
    <w:rsid w:val="233C2774"/>
    <w:rsid w:val="274E68CF"/>
    <w:rsid w:val="28C26FAC"/>
    <w:rsid w:val="2B526BF2"/>
    <w:rsid w:val="2BB46F1D"/>
    <w:rsid w:val="2C345BA8"/>
    <w:rsid w:val="2FA054F8"/>
    <w:rsid w:val="300703B5"/>
    <w:rsid w:val="309B0CAA"/>
    <w:rsid w:val="365D1558"/>
    <w:rsid w:val="37756932"/>
    <w:rsid w:val="37BB49E2"/>
    <w:rsid w:val="38FA4476"/>
    <w:rsid w:val="39E50740"/>
    <w:rsid w:val="3CC05722"/>
    <w:rsid w:val="3D866913"/>
    <w:rsid w:val="40B01861"/>
    <w:rsid w:val="415657AA"/>
    <w:rsid w:val="42D31F27"/>
    <w:rsid w:val="433A3380"/>
    <w:rsid w:val="436D36BB"/>
    <w:rsid w:val="43A20BAB"/>
    <w:rsid w:val="4714323A"/>
    <w:rsid w:val="47615D53"/>
    <w:rsid w:val="48270F31"/>
    <w:rsid w:val="48746AC2"/>
    <w:rsid w:val="4B971718"/>
    <w:rsid w:val="4BE331DB"/>
    <w:rsid w:val="4D517835"/>
    <w:rsid w:val="4DBB4E9D"/>
    <w:rsid w:val="4E3D039E"/>
    <w:rsid w:val="4F310779"/>
    <w:rsid w:val="526B3F2A"/>
    <w:rsid w:val="5358625C"/>
    <w:rsid w:val="53E75832"/>
    <w:rsid w:val="54CE3AA7"/>
    <w:rsid w:val="563A6F01"/>
    <w:rsid w:val="59335998"/>
    <w:rsid w:val="5B4236BA"/>
    <w:rsid w:val="5E887250"/>
    <w:rsid w:val="5F4C0F87"/>
    <w:rsid w:val="607C3FC9"/>
    <w:rsid w:val="666B2E92"/>
    <w:rsid w:val="67475B1A"/>
    <w:rsid w:val="677D5B76"/>
    <w:rsid w:val="67E24A1A"/>
    <w:rsid w:val="68677928"/>
    <w:rsid w:val="6BCF0863"/>
    <w:rsid w:val="6C1D139E"/>
    <w:rsid w:val="6F263E64"/>
    <w:rsid w:val="70C80A99"/>
    <w:rsid w:val="73954FC5"/>
    <w:rsid w:val="788B5054"/>
    <w:rsid w:val="79736ACF"/>
    <w:rsid w:val="7BBA57C9"/>
    <w:rsid w:val="7C4461F8"/>
    <w:rsid w:val="7CD0125E"/>
    <w:rsid w:val="7E0155BF"/>
    <w:rsid w:val="7EDE7380"/>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8006</Words>
  <Characters>8967</Characters>
  <Lines>34</Lines>
  <Paragraphs>9</Paragraphs>
  <TotalTime>2</TotalTime>
  <ScaleCrop>false</ScaleCrop>
  <LinksUpToDate>false</LinksUpToDate>
  <CharactersWithSpaces>9839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2023-04-15T15:15:10Z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